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E2" w:rsidRDefault="000706A4">
      <w:pPr>
        <w:spacing w:before="120" w:after="120" w:line="276" w:lineRule="auto"/>
        <w:jc w:val="both"/>
        <w:rPr>
          <w:rFonts w:ascii="Calibri" w:eastAsia="Calibri" w:hAnsi="Calibri" w:cs="Calibri"/>
          <w:b/>
          <w:sz w:val="22"/>
          <w:szCs w:val="22"/>
        </w:rPr>
      </w:pPr>
      <w:bookmarkStart w:id="0" w:name="_GoBack"/>
      <w:bookmarkEnd w:id="0"/>
      <w:r>
        <w:rPr>
          <w:rFonts w:ascii="Calibri" w:eastAsia="Calibri" w:hAnsi="Calibri" w:cs="Calibri"/>
          <w:b/>
          <w:noProof/>
          <w:sz w:val="22"/>
          <w:szCs w:val="22"/>
          <w:lang w:val="it-IT"/>
        </w:rPr>
        <w:drawing>
          <wp:inline distT="114300" distB="114300" distL="114300" distR="114300">
            <wp:extent cx="6119820" cy="927100"/>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119820" cy="927100"/>
                    </a:xfrm>
                    <a:prstGeom prst="rect">
                      <a:avLst/>
                    </a:prstGeom>
                    <a:ln/>
                  </pic:spPr>
                </pic:pic>
              </a:graphicData>
            </a:graphic>
          </wp:inline>
        </w:drawing>
      </w:r>
    </w:p>
    <w:p w:rsidR="00951DE2" w:rsidRDefault="000706A4">
      <w:pPr>
        <w:spacing w:before="120" w:after="120" w:line="276" w:lineRule="auto"/>
        <w:jc w:val="center"/>
        <w:rPr>
          <w:rFonts w:ascii="Calibri" w:eastAsia="Calibri" w:hAnsi="Calibri" w:cs="Calibri"/>
          <w:b/>
          <w:sz w:val="22"/>
          <w:szCs w:val="22"/>
        </w:rPr>
      </w:pPr>
      <w:r>
        <w:rPr>
          <w:rFonts w:ascii="Calibri" w:eastAsia="Calibri" w:hAnsi="Calibri" w:cs="Calibri"/>
          <w:b/>
          <w:noProof/>
          <w:sz w:val="22"/>
          <w:szCs w:val="22"/>
          <w:lang w:val="it-IT"/>
        </w:rPr>
        <w:drawing>
          <wp:inline distT="114300" distB="114300" distL="114300" distR="114300">
            <wp:extent cx="6119820" cy="110490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6119820" cy="1104900"/>
                    </a:xfrm>
                    <a:prstGeom prst="rect">
                      <a:avLst/>
                    </a:prstGeom>
                    <a:ln/>
                  </pic:spPr>
                </pic:pic>
              </a:graphicData>
            </a:graphic>
          </wp:inline>
        </w:drawing>
      </w:r>
    </w:p>
    <w:p w:rsidR="00951DE2" w:rsidRDefault="000706A4">
      <w:pPr>
        <w:ind w:right="405"/>
        <w:jc w:val="center"/>
        <w:rPr>
          <w:b/>
          <w:sz w:val="22"/>
          <w:szCs w:val="22"/>
        </w:rPr>
      </w:pPr>
      <w:r>
        <w:rPr>
          <w:b/>
          <w:sz w:val="22"/>
          <w:szCs w:val="22"/>
        </w:rPr>
        <w:t>PIANO NAZIONALE DI RIPRESA E RESILIENZA, FINANZIATO DALL’UNIONE EUROPEA – NEXT GENERATION EU.</w:t>
      </w:r>
    </w:p>
    <w:p w:rsidR="00951DE2" w:rsidRDefault="000706A4">
      <w:pPr>
        <w:ind w:right="405"/>
        <w:jc w:val="center"/>
        <w:rPr>
          <w:b/>
          <w:sz w:val="22"/>
          <w:szCs w:val="22"/>
        </w:rPr>
      </w:pPr>
      <w:r>
        <w:rPr>
          <w:b/>
          <w:sz w:val="22"/>
          <w:szCs w:val="22"/>
        </w:rPr>
        <w:t>INTERVENTI DI CUI ALLA MISSIONE 4 – ISTRUZIONE E RICERCA – COMPONENTE 1 – POTENZIAMENTO DELL’OFFERTA DEI SERVIZI DI ISTRUZIONE: DAGLI ASILI NIDO ALLE UNIVERSITÀ – INVESTIMENTO 3.2 “SCUOLA 4.0: SCUOLE INNOVATIVE, CABLAGGIO, NUOVI AMBIENTI DI APPRENDIMENTO E</w:t>
      </w:r>
      <w:r>
        <w:rPr>
          <w:b/>
          <w:sz w:val="22"/>
          <w:szCs w:val="22"/>
        </w:rPr>
        <w:t xml:space="preserve"> LABORATORI”</w:t>
      </w:r>
    </w:p>
    <w:p w:rsidR="00951DE2" w:rsidRDefault="00951DE2">
      <w:pPr>
        <w:ind w:right="405"/>
        <w:jc w:val="center"/>
        <w:rPr>
          <w:b/>
          <w:sz w:val="22"/>
          <w:szCs w:val="22"/>
        </w:rPr>
      </w:pPr>
    </w:p>
    <w:p w:rsidR="00951DE2" w:rsidRDefault="000706A4">
      <w:pPr>
        <w:ind w:right="405"/>
        <w:jc w:val="center"/>
        <w:rPr>
          <w:sz w:val="22"/>
          <w:szCs w:val="22"/>
        </w:rPr>
      </w:pPr>
      <w:r>
        <w:rPr>
          <w:sz w:val="22"/>
          <w:szCs w:val="22"/>
        </w:rPr>
        <w:t>Avviso pubblico AOOGABMI/218 dell’8 agosto 2022 “Scuola 4.0: scuole innovative, cablaggio, nuovi ambienti di apprendimento e laboratori”.</w:t>
      </w:r>
    </w:p>
    <w:p w:rsidR="00951DE2" w:rsidRDefault="000706A4">
      <w:pPr>
        <w:numPr>
          <w:ilvl w:val="0"/>
          <w:numId w:val="1"/>
        </w:numPr>
        <w:spacing w:line="259" w:lineRule="auto"/>
        <w:ind w:left="360" w:right="-386"/>
        <w:rPr>
          <w:rFonts w:ascii="Calibri" w:eastAsia="Calibri" w:hAnsi="Calibri" w:cs="Calibri"/>
          <w:b/>
          <w:sz w:val="20"/>
          <w:szCs w:val="20"/>
        </w:rPr>
      </w:pPr>
      <w:r>
        <w:rPr>
          <w:b/>
          <w:sz w:val="20"/>
          <w:szCs w:val="20"/>
        </w:rPr>
        <w:t xml:space="preserve">AZIONE 1 “NEXT GENERATION CLASS” - </w:t>
      </w:r>
      <w:r>
        <w:rPr>
          <w:sz w:val="20"/>
          <w:szCs w:val="20"/>
        </w:rPr>
        <w:t xml:space="preserve">CUP </w:t>
      </w:r>
      <w:r>
        <w:rPr>
          <w:b/>
          <w:sz w:val="20"/>
          <w:szCs w:val="20"/>
        </w:rPr>
        <w:t>B74D22003420006 - M4C1I3.2-2022-961-P-13202</w:t>
      </w:r>
    </w:p>
    <w:p w:rsidR="00951DE2" w:rsidRDefault="00951DE2">
      <w:pPr>
        <w:spacing w:line="259" w:lineRule="auto"/>
        <w:ind w:left="720" w:right="-386"/>
        <w:rPr>
          <w:rFonts w:ascii="Calibri" w:eastAsia="Calibri" w:hAnsi="Calibri" w:cs="Calibri"/>
          <w:b/>
          <w:sz w:val="22"/>
          <w:szCs w:val="22"/>
        </w:rPr>
      </w:pPr>
    </w:p>
    <w:p w:rsidR="00951DE2" w:rsidRDefault="00951DE2">
      <w:pPr>
        <w:spacing w:line="259" w:lineRule="auto"/>
        <w:ind w:left="720" w:right="-386"/>
        <w:rPr>
          <w:rFonts w:ascii="Calibri" w:eastAsia="Calibri" w:hAnsi="Calibri" w:cs="Calibri"/>
          <w:b/>
          <w:sz w:val="22"/>
          <w:szCs w:val="22"/>
        </w:rPr>
      </w:pPr>
    </w:p>
    <w:p w:rsidR="00951DE2" w:rsidRDefault="000706A4">
      <w:pPr>
        <w:spacing w:line="259" w:lineRule="auto"/>
        <w:ind w:right="-386"/>
        <w:jc w:val="both"/>
        <w:rPr>
          <w:b/>
          <w:sz w:val="22"/>
          <w:szCs w:val="22"/>
        </w:rPr>
      </w:pPr>
      <w:r>
        <w:rPr>
          <w:b/>
          <w:sz w:val="22"/>
          <w:szCs w:val="22"/>
        </w:rPr>
        <w:t>Il/La sottoscritto/</w:t>
      </w:r>
      <w:r>
        <w:rPr>
          <w:b/>
          <w:sz w:val="22"/>
          <w:szCs w:val="22"/>
        </w:rPr>
        <w:t>a _____________________________________ nato/a a _______________ il_________________ residente a______________________ Provincia di ___________________ Via/Piazza _______________________________________________ n. _________ Codice Fiscale _________________</w:t>
      </w:r>
      <w:r>
        <w:rPr>
          <w:b/>
          <w:sz w:val="22"/>
          <w:szCs w:val="22"/>
        </w:rPr>
        <w:t xml:space="preserve">_____________, in qualità di _________________________________________ </w:t>
      </w:r>
    </w:p>
    <w:p w:rsidR="00951DE2" w:rsidRDefault="000706A4">
      <w:pPr>
        <w:spacing w:before="120" w:after="120"/>
        <w:jc w:val="both"/>
        <w:rPr>
          <w:sz w:val="22"/>
          <w:szCs w:val="22"/>
        </w:rPr>
      </w:pPr>
      <w:r>
        <w:rPr>
          <w:sz w:val="22"/>
          <w:szCs w:val="22"/>
        </w:rPr>
        <w:t>in relazione all’incarico di ESPERTO COLLAUDATORE avente ad oggetto le attività di controllo e collaudo relative al progetto “L’AULA E’ IL MIO FUTURO”  con codice CUP ,</w:t>
      </w:r>
      <w:r>
        <w:rPr>
          <w:b/>
          <w:sz w:val="20"/>
          <w:szCs w:val="20"/>
        </w:rPr>
        <w:t>B74D22003420006</w:t>
      </w:r>
    </w:p>
    <w:p w:rsidR="00951DE2" w:rsidRDefault="00951DE2">
      <w:pPr>
        <w:spacing w:before="120" w:after="120" w:line="276" w:lineRule="auto"/>
        <w:jc w:val="both"/>
        <w:rPr>
          <w:rFonts w:ascii="Calibri" w:eastAsia="Calibri" w:hAnsi="Calibri" w:cs="Calibri"/>
          <w:b/>
          <w:sz w:val="22"/>
          <w:szCs w:val="22"/>
        </w:rPr>
      </w:pPr>
    </w:p>
    <w:p w:rsidR="00951DE2" w:rsidRDefault="000706A4">
      <w:pPr>
        <w:spacing w:before="120" w:after="120"/>
        <w:jc w:val="both"/>
        <w:rPr>
          <w:b/>
          <w:sz w:val="22"/>
          <w:szCs w:val="22"/>
        </w:rPr>
      </w:pPr>
      <w:r>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w:t>
      </w:r>
      <w:r>
        <w:rPr>
          <w:b/>
          <w:sz w:val="22"/>
          <w:szCs w:val="22"/>
        </w:rPr>
        <w:t>nte ottenuti ai sensi dell’art. 75 del d.P.R. n. 445 del 28 dicembre 2000 e l’applicazione di ogni altra sanzione prevista dalla legge, nella predetta qualità, ai sensi e per gli effetti di cui agli artt. 46 e 47 del d.P.R. n. 445 del 28 dicembre 2000,</w:t>
      </w:r>
    </w:p>
    <w:p w:rsidR="00951DE2" w:rsidRDefault="00951DE2">
      <w:pPr>
        <w:spacing w:before="120" w:after="120"/>
        <w:jc w:val="center"/>
        <w:rPr>
          <w:b/>
          <w:sz w:val="22"/>
          <w:szCs w:val="22"/>
        </w:rPr>
      </w:pPr>
    </w:p>
    <w:p w:rsidR="00951DE2" w:rsidRDefault="000706A4">
      <w:pPr>
        <w:spacing w:before="120" w:after="120"/>
        <w:jc w:val="center"/>
        <w:rPr>
          <w:b/>
          <w:sz w:val="22"/>
          <w:szCs w:val="22"/>
        </w:rPr>
      </w:pPr>
      <w:r>
        <w:rPr>
          <w:b/>
          <w:sz w:val="22"/>
          <w:szCs w:val="22"/>
        </w:rPr>
        <w:t>DI</w:t>
      </w:r>
      <w:r>
        <w:rPr>
          <w:b/>
          <w:sz w:val="22"/>
          <w:szCs w:val="22"/>
        </w:rPr>
        <w:t>CHIARA</w:t>
      </w:r>
    </w:p>
    <w:p w:rsidR="00951DE2" w:rsidRDefault="00951DE2">
      <w:pPr>
        <w:spacing w:before="120" w:after="120"/>
        <w:jc w:val="center"/>
        <w:rPr>
          <w:b/>
          <w:sz w:val="22"/>
          <w:szCs w:val="22"/>
        </w:rPr>
      </w:pPr>
    </w:p>
    <w:p w:rsidR="00951DE2" w:rsidRDefault="000706A4">
      <w:pPr>
        <w:numPr>
          <w:ilvl w:val="0"/>
          <w:numId w:val="2"/>
        </w:numPr>
        <w:pBdr>
          <w:top w:val="nil"/>
          <w:left w:val="nil"/>
          <w:bottom w:val="nil"/>
          <w:right w:val="nil"/>
          <w:between w:val="nil"/>
        </w:pBdr>
        <w:spacing w:before="120"/>
        <w:ind w:left="709"/>
        <w:jc w:val="both"/>
        <w:rPr>
          <w:color w:val="000000"/>
          <w:sz w:val="22"/>
          <w:szCs w:val="22"/>
        </w:rPr>
      </w:pPr>
      <w:r>
        <w:rPr>
          <w:color w:val="000000"/>
          <w:sz w:val="22"/>
          <w:szCs w:val="22"/>
        </w:rPr>
        <w:t xml:space="preserve">di non trovarsi in situazione di incompatibilità, ai sensi di quanto previsto dal d.lgs. n. 39/2013 e dall’art. 53, del d.lgs. n. 165/2001; </w:t>
      </w:r>
    </w:p>
    <w:p w:rsidR="00951DE2" w:rsidRDefault="000706A4">
      <w:pPr>
        <w:pBdr>
          <w:top w:val="nil"/>
          <w:left w:val="nil"/>
          <w:bottom w:val="nil"/>
          <w:right w:val="nil"/>
          <w:between w:val="nil"/>
        </w:pBdr>
        <w:ind w:left="709" w:hanging="284"/>
        <w:jc w:val="both"/>
        <w:rPr>
          <w:color w:val="000000"/>
          <w:sz w:val="22"/>
          <w:szCs w:val="22"/>
        </w:rPr>
      </w:pPr>
      <w:r>
        <w:rPr>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di non trovarsi in situazioni di conflitto di interessi, anche potenziale, ai sensi dell’art. 53, comma 14, del d.lgs. n. 165/2001, che possano interferire con l’esercizio dell’incarico;</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c</w:t>
      </w:r>
      <w:r>
        <w:rPr>
          <w:color w:val="000000"/>
          <w:sz w:val="22"/>
          <w:szCs w:val="22"/>
        </w:rPr>
        <w:t xml:space="preserve">he l’esercizio dell’incarico non coinvolge interessi propri o interessi di parenti, affini entro il secondo grado, del coniuge o di conviventi, oppure di persone con le quali abbia rapporti di frequentazione </w:t>
      </w:r>
      <w:r>
        <w:rPr>
          <w:color w:val="000000"/>
          <w:sz w:val="22"/>
          <w:szCs w:val="22"/>
        </w:rPr>
        <w:lastRenderedPageBreak/>
        <w:t>abituale, né interessi di soggetti od organizzaz</w:t>
      </w:r>
      <w:r>
        <w:rPr>
          <w:color w:val="000000"/>
          <w:sz w:val="22"/>
          <w:szCs w:val="22"/>
        </w:rPr>
        <w:t>ioni con cui egli o il coniuge abbia causa pendente o grave inimicizia o rapporti di credito o debito significativi o interessi di soggetti od organizzazioni di cui sia tutore, curatore, procuratore o agente, titolare effettivo, ovvero di enti, associazion</w:t>
      </w:r>
      <w:r>
        <w:rPr>
          <w:color w:val="000000"/>
          <w:sz w:val="22"/>
          <w:szCs w:val="22"/>
        </w:rPr>
        <w:t>i anche non riconosciute, comitati, società o stabilimenti di cui sia amministratore o gerente o dirigente;</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di aver preso piena cognizione del D.M. 26 aprile 2022, n. 105, recante il Codice di Comportamento dei dipendenti del Ministero dell’istruzione e de</w:t>
      </w:r>
      <w:r>
        <w:rPr>
          <w:color w:val="000000"/>
          <w:sz w:val="22"/>
          <w:szCs w:val="22"/>
        </w:rPr>
        <w:t>l merito;</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di impegnarsi a comunicare tempestivamente all’Istituzione scolastica conferente eventuali variazioni che dovessero intervenire nel corso dello svolgimento dell’incarico;</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di impegnarsi altresì a comunicare all’Istituzione scolastica qualsiasi alt</w:t>
      </w:r>
      <w:r>
        <w:rPr>
          <w:color w:val="000000"/>
          <w:sz w:val="22"/>
          <w:szCs w:val="22"/>
        </w:rPr>
        <w:t>ra circostanza sopravvenuta di carattere ostativo rispetto all’espletamento dell’incarico;</w:t>
      </w:r>
    </w:p>
    <w:p w:rsidR="00951DE2" w:rsidRDefault="000706A4">
      <w:pPr>
        <w:numPr>
          <w:ilvl w:val="0"/>
          <w:numId w:val="2"/>
        </w:numPr>
        <w:pBdr>
          <w:top w:val="nil"/>
          <w:left w:val="nil"/>
          <w:bottom w:val="nil"/>
          <w:right w:val="nil"/>
          <w:between w:val="nil"/>
        </w:pBdr>
        <w:ind w:left="709"/>
        <w:jc w:val="both"/>
        <w:rPr>
          <w:color w:val="000000"/>
          <w:sz w:val="22"/>
          <w:szCs w:val="22"/>
        </w:rPr>
      </w:pPr>
      <w:r>
        <w:rPr>
          <w:color w:val="000000"/>
          <w:sz w:val="22"/>
          <w:szCs w:val="22"/>
        </w:rPr>
        <w:t xml:space="preserve">di essere stato informato/a, ai sensi dell’art. 13 del Regolamento (UE) 2016/679 del Parlamento europeo e del Consiglio del 27 aprile 2016 e del decreto legislativo </w:t>
      </w:r>
      <w:r>
        <w:rPr>
          <w:color w:val="000000"/>
          <w:sz w:val="22"/>
          <w:szCs w:val="22"/>
        </w:rPr>
        <w:t>30 giugno 2003, n. 196, circa il trattamento dei dati personali raccolti e, in particolare, che tali dati saranno trattati, anche con strumenti informatici, esclusivamente per le finalità per le quali le presenti dichiarazioni vengono rese e fornisce il re</w:t>
      </w:r>
      <w:r>
        <w:rPr>
          <w:color w:val="000000"/>
          <w:sz w:val="22"/>
          <w:szCs w:val="22"/>
        </w:rPr>
        <w:t>lativo consenso.</w:t>
      </w:r>
    </w:p>
    <w:p w:rsidR="00951DE2" w:rsidRDefault="000706A4">
      <w:pPr>
        <w:pBdr>
          <w:top w:val="nil"/>
          <w:left w:val="nil"/>
          <w:bottom w:val="nil"/>
          <w:right w:val="nil"/>
          <w:between w:val="nil"/>
        </w:pBdr>
        <w:spacing w:before="120" w:after="120"/>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951DE2" w:rsidRDefault="000706A4">
      <w:pPr>
        <w:pBdr>
          <w:top w:val="nil"/>
          <w:left w:val="nil"/>
          <w:bottom w:val="nil"/>
          <w:right w:val="nil"/>
          <w:between w:val="nil"/>
        </w:pBdr>
        <w:spacing w:before="120" w:after="120"/>
        <w:jc w:val="both"/>
        <w:rPr>
          <w:color w:val="000000"/>
          <w:sz w:val="22"/>
          <w:szCs w:val="22"/>
        </w:rPr>
      </w:pPr>
      <w:bookmarkStart w:id="1" w:name="_30j0zll" w:colFirst="0" w:colLast="0"/>
      <w:bookmarkEnd w:id="1"/>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sz w:val="22"/>
          <w:szCs w:val="22"/>
        </w:rPr>
        <w:t>I</w:t>
      </w:r>
      <w:r>
        <w:rPr>
          <w:color w:val="000000"/>
          <w:sz w:val="22"/>
          <w:szCs w:val="22"/>
        </w:rPr>
        <w:t>L DICHIARANTE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000000"/>
          <w:sz w:val="22"/>
          <w:szCs w:val="22"/>
        </w:rPr>
        <w:tab/>
        <w:t xml:space="preserve">              </w:t>
      </w:r>
    </w:p>
    <w:p w:rsidR="00951DE2" w:rsidRDefault="000706A4">
      <w:pPr>
        <w:spacing w:before="120" w:after="120"/>
        <w:ind w:left="4956"/>
        <w:jc w:val="both"/>
        <w:rPr>
          <w:sz w:val="22"/>
          <w:szCs w:val="22"/>
        </w:rPr>
      </w:pPr>
      <w:r>
        <w:rPr>
          <w:sz w:val="22"/>
          <w:szCs w:val="22"/>
        </w:rPr>
        <w:t xml:space="preserve">                      ____________________________</w:t>
      </w:r>
    </w:p>
    <w:p w:rsidR="00951DE2" w:rsidRDefault="00951DE2">
      <w:pPr>
        <w:spacing w:before="120" w:after="120"/>
        <w:jc w:val="both"/>
        <w:rPr>
          <w:rFonts w:ascii="Calibri" w:eastAsia="Calibri" w:hAnsi="Calibri" w:cs="Calibri"/>
          <w:b/>
          <w:sz w:val="22"/>
          <w:szCs w:val="22"/>
          <w:u w:val="single"/>
        </w:rPr>
      </w:pPr>
    </w:p>
    <w:p w:rsidR="00951DE2" w:rsidRDefault="00951DE2">
      <w:pPr>
        <w:rPr>
          <w:rFonts w:ascii="Calibri" w:eastAsia="Calibri" w:hAnsi="Calibri" w:cs="Calibri"/>
          <w:sz w:val="22"/>
          <w:szCs w:val="22"/>
        </w:rPr>
      </w:pPr>
    </w:p>
    <w:p w:rsidR="00951DE2" w:rsidRDefault="00951DE2">
      <w:pPr>
        <w:rPr>
          <w:rFonts w:ascii="Calibri" w:eastAsia="Calibri" w:hAnsi="Calibri" w:cs="Calibri"/>
          <w:sz w:val="22"/>
          <w:szCs w:val="22"/>
        </w:rPr>
      </w:pPr>
    </w:p>
    <w:p w:rsidR="00951DE2" w:rsidRDefault="00951DE2">
      <w:pPr>
        <w:rPr>
          <w:rFonts w:ascii="Calibri" w:eastAsia="Calibri" w:hAnsi="Calibri" w:cs="Calibri"/>
          <w:sz w:val="22"/>
          <w:szCs w:val="22"/>
        </w:rPr>
      </w:pPr>
    </w:p>
    <w:sectPr w:rsidR="00951DE2">
      <w:headerReference w:type="default" r:id="rId9"/>
      <w:footerReference w:type="default" r:id="rId10"/>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A4" w:rsidRDefault="000706A4">
      <w:r>
        <w:separator/>
      </w:r>
    </w:p>
  </w:endnote>
  <w:endnote w:type="continuationSeparator" w:id="0">
    <w:p w:rsidR="000706A4" w:rsidRDefault="00070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E2" w:rsidRDefault="000706A4">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sidR="00017EAD">
      <w:rPr>
        <w:color w:val="000000"/>
        <w:sz w:val="20"/>
        <w:szCs w:val="20"/>
      </w:rPr>
      <w:fldChar w:fldCharType="separate"/>
    </w:r>
    <w:r w:rsidR="00017EAD">
      <w:rPr>
        <w:noProof/>
        <w:color w:val="000000"/>
        <w:sz w:val="20"/>
        <w:szCs w:val="20"/>
      </w:rPr>
      <w:t>2</w:t>
    </w:r>
    <w:r>
      <w:rPr>
        <w:color w:val="000000"/>
        <w:sz w:val="20"/>
        <w:szCs w:val="20"/>
      </w:rPr>
      <w:fldChar w:fldCharType="end"/>
    </w:r>
    <w:r>
      <w:rPr>
        <w:noProof/>
        <w:lang w:val="it-IT"/>
      </w:rPr>
      <w:drawing>
        <wp:anchor distT="0" distB="0" distL="114300" distR="114300" simplePos="0" relativeHeight="251658240" behindDoc="0" locked="0" layoutInCell="1" hidden="0" allowOverlap="1">
          <wp:simplePos x="0" y="0"/>
          <wp:positionH relativeFrom="column">
            <wp:posOffset>-287654</wp:posOffset>
          </wp:positionH>
          <wp:positionV relativeFrom="paragraph">
            <wp:posOffset>217170</wp:posOffset>
          </wp:positionV>
          <wp:extent cx="6744335" cy="282575"/>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rsidR="00951DE2" w:rsidRDefault="00951DE2">
    <w:pPr>
      <w:pBdr>
        <w:top w:val="nil"/>
        <w:left w:val="nil"/>
        <w:bottom w:val="nil"/>
        <w:right w:val="nil"/>
        <w:between w:val="nil"/>
      </w:pBdr>
      <w:tabs>
        <w:tab w:val="center" w:pos="4819"/>
        <w:tab w:val="right" w:pos="9638"/>
      </w:tabs>
      <w:jc w:val="center"/>
      <w:rPr>
        <w:color w:val="000000"/>
        <w:sz w:val="20"/>
        <w:szCs w:val="20"/>
      </w:rPr>
    </w:pPr>
  </w:p>
  <w:p w:rsidR="00951DE2" w:rsidRDefault="00951DE2">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A4" w:rsidRDefault="000706A4">
      <w:r>
        <w:separator/>
      </w:r>
    </w:p>
  </w:footnote>
  <w:footnote w:type="continuationSeparator" w:id="0">
    <w:p w:rsidR="000706A4" w:rsidRDefault="00070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DE2" w:rsidRDefault="00951DE2">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31276"/>
    <w:multiLevelType w:val="multilevel"/>
    <w:tmpl w:val="FB6E52FA"/>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EA5B09"/>
    <w:multiLevelType w:val="multilevel"/>
    <w:tmpl w:val="6A8ACD9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9F6829"/>
    <w:multiLevelType w:val="multilevel"/>
    <w:tmpl w:val="7308989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DE2"/>
    <w:rsid w:val="00017EAD"/>
    <w:rsid w:val="000706A4"/>
    <w:rsid w:val="00951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AEDF0-5276-4598-8B37-8A843E6E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rPr>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3"/>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rPr>
      <w:lang w:val="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2024-04-05T11:47:00Z</dcterms:created>
  <dcterms:modified xsi:type="dcterms:W3CDTF">2024-04-05T11:47:00Z</dcterms:modified>
</cp:coreProperties>
</file>