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ind w:right="405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PIANO NAZIONALE DI RIPRESA E RESILIENZA, FINANZIATO DALL’UNIONE EUROPEA – NEXT GENERATION EU.</w:t>
            </w:r>
          </w:p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INTERVENTI DI CUI ALLA MISSIONE 4 – ISTRUZIONE E RICERCA – COMPONENTE 1 – POTENZIAMENTO DELL’OFFERTA DEI SERVIZI DI ISTRUZIONE: DAGLI ASILI NIDO ALLE UNIVERSITÀ – INVESTIMENTO 1.4 “INTERVENTO STRAORDINARIO FINALIZZATO ALLA RIDUZIONE DEI DIVARI TERRITORIALI NEL I E II CICLO DELLA SCUOLA SECONDARIA E ALLA LOTTA ALLA DISPERSIONE SCOLASTICA”</w:t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Decreto AOOGABMI/170 del 24 giugno 2022 - Definizione dei criteri di riparto delle risorse per le azioni di prevenzione e contrasto della dispersione scolastica in attuazione della linea di investimento 1.4. “Intervento straordinario finalizzato alla riduzione dei divari territoriali nel I e II ciclo della scuola secondaria e alla lotta alla dispersione scolastica”.</w:t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TITOLO DEL PROGETTO:  “TI PRENDO PER MANO</w:t>
            </w:r>
          </w:p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CUP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B64D22003730006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SELEZIONE PER IL CONFERIMENTO DI N.1 INCARICO INDIVIDUALE, AVENTE AD OGGETTO LA SELEZIONE DI N. 1 TUTOR INTERNO</w:t>
            </w:r>
          </w:p>
          <w:p w:rsidR="00000000" w:rsidDel="00000000" w:rsidP="00000000" w:rsidRDefault="00000000" w:rsidRPr="00000000" w14:paraId="0000000A">
            <w:pPr>
              <w:widowControl w:val="1"/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LABORATORI CO-CURRICOLARI - PNRR DISPERSIONE SCOLASTICA</w:t>
            </w:r>
          </w:p>
          <w:p w:rsidR="00000000" w:rsidDel="00000000" w:rsidP="00000000" w:rsidRDefault="00000000" w:rsidRPr="00000000" w14:paraId="0000000B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SEDI SALEMI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 in qualità di Docente interno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F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F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prot. n. 7637 del 14.11.2023 e, nello specifico, di: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6.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0" w:before="12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formato europeo sottoscritto contenente una autodichiarazione di veridicità dei dati e delle informazioni contenute, ai sensi degli artt. 46 e 47 del D.P.R. 445/2000;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283.4645669291338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9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Do3yt/N/lhKb/NYUhw/2mKplg==">CgMxLjAyCGguZ2pkZ3hzMgloLjMwajB6bGwyCWguMWZvYjl0ZTIJaC4yZXQ5MnAwOAByITFFM2pfRHJkV09HRW9XNlFqOW9hT2s1M0NORTJkUHV3bg==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